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AFCD" w14:textId="77777777" w:rsidR="00E2610C" w:rsidRDefault="00E2610C" w:rsidP="00CB0CAE">
      <w:pPr>
        <w:rPr>
          <w:b/>
          <w:bCs/>
          <w:color w:val="4B9A8B"/>
          <w:sz w:val="24"/>
          <w:szCs w:val="24"/>
        </w:rPr>
      </w:pPr>
      <w:bookmarkStart w:id="0" w:name="_Hlk178590198"/>
    </w:p>
    <w:p w14:paraId="434539ED" w14:textId="77777777" w:rsidR="00BE60CF" w:rsidRDefault="00E2610C" w:rsidP="00CB0CAE">
      <w:pPr>
        <w:rPr>
          <w:b/>
          <w:bCs/>
          <w:color w:val="4B9A8B"/>
          <w:sz w:val="24"/>
          <w:szCs w:val="24"/>
        </w:rPr>
      </w:pPr>
      <w:r w:rsidRPr="00815823">
        <w:rPr>
          <w:b/>
          <w:bCs/>
          <w:color w:val="4B9A8B"/>
          <w:sz w:val="24"/>
          <w:szCs w:val="24"/>
        </w:rPr>
        <w:t>C</w:t>
      </w:r>
    </w:p>
    <w:p w14:paraId="1AA96DC3" w14:textId="77777777" w:rsidR="00BE60CF" w:rsidRDefault="00BE60CF" w:rsidP="00CB0CAE">
      <w:pPr>
        <w:rPr>
          <w:b/>
          <w:bCs/>
          <w:color w:val="4B9A8B"/>
          <w:sz w:val="24"/>
          <w:szCs w:val="24"/>
        </w:rPr>
      </w:pPr>
    </w:p>
    <w:p w14:paraId="0BC3F01E" w14:textId="77777777" w:rsidR="00BE60CF" w:rsidRDefault="00BE60CF" w:rsidP="00CB0CAE">
      <w:pPr>
        <w:rPr>
          <w:b/>
          <w:bCs/>
          <w:color w:val="4B9A8B"/>
          <w:sz w:val="24"/>
          <w:szCs w:val="24"/>
        </w:rPr>
      </w:pPr>
    </w:p>
    <w:p w14:paraId="713B60A6" w14:textId="77777777" w:rsidR="00BE60CF" w:rsidRDefault="00BE60CF" w:rsidP="00CB0CAE">
      <w:pPr>
        <w:rPr>
          <w:b/>
          <w:bCs/>
          <w:color w:val="4B9A8B"/>
          <w:sz w:val="24"/>
          <w:szCs w:val="24"/>
        </w:rPr>
      </w:pPr>
    </w:p>
    <w:p w14:paraId="381C9B68" w14:textId="0DF7C1B6" w:rsidR="00E2610C" w:rsidRPr="00815823" w:rsidRDefault="00E2610C" w:rsidP="00CB0CAE">
      <w:pPr>
        <w:rPr>
          <w:b/>
          <w:bCs/>
          <w:color w:val="4B9A8B"/>
          <w:sz w:val="24"/>
          <w:szCs w:val="24"/>
        </w:rPr>
      </w:pPr>
      <w:r w:rsidRPr="00815823">
        <w:rPr>
          <w:b/>
          <w:bCs/>
          <w:color w:val="4B9A8B"/>
          <w:sz w:val="24"/>
          <w:szCs w:val="24"/>
        </w:rPr>
        <w:t>AMPAGNE DENIER 2025</w:t>
      </w:r>
      <w:bookmarkEnd w:id="0"/>
    </w:p>
    <w:p w14:paraId="3AFB64E5" w14:textId="7C52F24F" w:rsidR="00CB0CAE" w:rsidRPr="00815823" w:rsidRDefault="00CB0CAE" w:rsidP="00BE60CF">
      <w:pPr>
        <w:tabs>
          <w:tab w:val="left" w:pos="8325"/>
        </w:tabs>
        <w:rPr>
          <w:b/>
          <w:bCs/>
          <w:color w:val="EE745C"/>
          <w:kern w:val="0"/>
          <w:sz w:val="36"/>
          <w:szCs w:val="36"/>
          <w14:ligatures w14:val="none"/>
        </w:rPr>
      </w:pPr>
      <w:r w:rsidRPr="00815823">
        <w:rPr>
          <w:b/>
          <w:bCs/>
          <w:color w:val="EE745C"/>
          <w:kern w:val="0"/>
          <w:sz w:val="36"/>
          <w:szCs w:val="36"/>
          <w14:ligatures w14:val="none"/>
        </w:rPr>
        <w:t>Rappeler le se</w:t>
      </w:r>
      <w:r w:rsidR="00BE60CF">
        <w:rPr>
          <w:noProof/>
          <w:lang w:eastAsia="fr-FR"/>
        </w:rPr>
        <w:drawing>
          <wp:anchor distT="0" distB="0" distL="114300" distR="114300" simplePos="0" relativeHeight="251659264" behindDoc="1" locked="0" layoutInCell="1" allowOverlap="1" wp14:anchorId="4F53C994" wp14:editId="3B7F7DAA">
            <wp:simplePos x="0" y="0"/>
            <wp:positionH relativeFrom="margin">
              <wp:posOffset>-883285</wp:posOffset>
            </wp:positionH>
            <wp:positionV relativeFrom="margin">
              <wp:posOffset>-897255</wp:posOffset>
            </wp:positionV>
            <wp:extent cx="7526655" cy="2148840"/>
            <wp:effectExtent l="0" t="0" r="0" b="3810"/>
            <wp:wrapNone/>
            <wp:docPr id="1" name="Image 1" descr="Une image contenant texte, personne, capture d’écran, habits&#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capture d’écran, habits&#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6655" cy="2148840"/>
                    </a:xfrm>
                    <a:prstGeom prst="rect">
                      <a:avLst/>
                    </a:prstGeom>
                  </pic:spPr>
                </pic:pic>
              </a:graphicData>
            </a:graphic>
            <wp14:sizeRelH relativeFrom="margin">
              <wp14:pctWidth>0</wp14:pctWidth>
            </wp14:sizeRelH>
            <wp14:sizeRelV relativeFrom="margin">
              <wp14:pctHeight>0</wp14:pctHeight>
            </wp14:sizeRelV>
          </wp:anchor>
        </w:drawing>
      </w:r>
      <w:r w:rsidRPr="00815823">
        <w:rPr>
          <w:b/>
          <w:bCs/>
          <w:color w:val="EE745C"/>
          <w:kern w:val="0"/>
          <w:sz w:val="36"/>
          <w:szCs w:val="36"/>
          <w14:ligatures w14:val="none"/>
        </w:rPr>
        <w:t xml:space="preserve">ns </w:t>
      </w:r>
      <w:r w:rsidR="00F87C60" w:rsidRPr="00815823">
        <w:rPr>
          <w:b/>
          <w:bCs/>
          <w:color w:val="EE745C"/>
          <w:kern w:val="0"/>
          <w:sz w:val="36"/>
          <w:szCs w:val="36"/>
          <w14:ligatures w14:val="none"/>
        </w:rPr>
        <w:t>spirituel</w:t>
      </w:r>
      <w:r w:rsidRPr="00815823">
        <w:rPr>
          <w:b/>
          <w:bCs/>
          <w:color w:val="EE745C"/>
          <w:kern w:val="0"/>
          <w:sz w:val="36"/>
          <w:szCs w:val="36"/>
          <w14:ligatures w14:val="none"/>
        </w:rPr>
        <w:t xml:space="preserve"> du don</w:t>
      </w:r>
      <w:r w:rsidR="00BE60CF">
        <w:rPr>
          <w:b/>
          <w:bCs/>
          <w:color w:val="EE745C"/>
          <w:kern w:val="0"/>
          <w:sz w:val="36"/>
          <w:szCs w:val="36"/>
          <w14:ligatures w14:val="none"/>
        </w:rPr>
        <w:tab/>
      </w:r>
    </w:p>
    <w:p w14:paraId="0ADF55BA" w14:textId="77777777" w:rsidR="00CB0CAE" w:rsidRPr="00815823" w:rsidRDefault="00CB0CAE" w:rsidP="00CB0CAE">
      <w:pPr>
        <w:rPr>
          <w:b/>
          <w:bCs/>
        </w:rPr>
      </w:pPr>
    </w:p>
    <w:p w14:paraId="4991E596" w14:textId="7D218B06" w:rsidR="00CB0CAE" w:rsidRPr="00815823" w:rsidRDefault="00CB0CAE" w:rsidP="00CB0CAE">
      <w:pPr>
        <w:rPr>
          <w:b/>
          <w:bCs/>
          <w:sz w:val="24"/>
          <w:szCs w:val="24"/>
        </w:rPr>
      </w:pPr>
      <w:r w:rsidRPr="00815823">
        <w:rPr>
          <w:b/>
          <w:bCs/>
          <w:sz w:val="24"/>
          <w:szCs w:val="24"/>
        </w:rPr>
        <w:t>Usage de ce document</w:t>
      </w:r>
    </w:p>
    <w:p w14:paraId="790797EA" w14:textId="0AB1E156" w:rsidR="000048A3" w:rsidRPr="00815823" w:rsidRDefault="00CB0CAE">
      <w:pPr>
        <w:rPr>
          <w:kern w:val="0"/>
          <w14:ligatures w14:val="none"/>
        </w:rPr>
      </w:pPr>
      <w:r w:rsidRPr="00815823">
        <w:rPr>
          <w:kern w:val="0"/>
          <w14:ligatures w14:val="none"/>
        </w:rPr>
        <w:t xml:space="preserve">Nous vous proposons ici deux textes du Nouveau Testament en lien avec le don.  Ces textes peuvent servir de supports de discussion pour ceux qui souhaitent aborder le sens pastoral du don, </w:t>
      </w:r>
      <w:r w:rsidR="008E1A1E" w:rsidRPr="00815823">
        <w:rPr>
          <w:kern w:val="0"/>
          <w14:ligatures w14:val="none"/>
        </w:rPr>
        <w:t xml:space="preserve">lors de </w:t>
      </w:r>
      <w:r w:rsidRPr="00815823">
        <w:rPr>
          <w:kern w:val="0"/>
          <w14:ligatures w14:val="none"/>
        </w:rPr>
        <w:t>réunions internes ou avec des paroissiens interpellés par le sujet.</w:t>
      </w:r>
    </w:p>
    <w:p w14:paraId="39241CDC" w14:textId="651E48A0" w:rsidR="00F87C60" w:rsidRPr="00815823" w:rsidRDefault="000048A3">
      <w:pPr>
        <w:rPr>
          <w:kern w:val="0"/>
          <w14:ligatures w14:val="none"/>
        </w:rPr>
      </w:pPr>
      <w:r w:rsidRPr="00815823">
        <w:rPr>
          <w:kern w:val="0"/>
          <w14:ligatures w14:val="none"/>
        </w:rPr>
        <w:t xml:space="preserve">Ils peuvent également </w:t>
      </w:r>
      <w:r w:rsidR="00087652" w:rsidRPr="00815823">
        <w:rPr>
          <w:kern w:val="0"/>
          <w14:ligatures w14:val="none"/>
        </w:rPr>
        <w:t xml:space="preserve">étayer </w:t>
      </w:r>
      <w:r w:rsidRPr="00815823">
        <w:rPr>
          <w:kern w:val="0"/>
          <w14:ligatures w14:val="none"/>
        </w:rPr>
        <w:t xml:space="preserve">des articles </w:t>
      </w:r>
      <w:r w:rsidR="00087652" w:rsidRPr="00815823">
        <w:rPr>
          <w:kern w:val="0"/>
          <w14:ligatures w14:val="none"/>
        </w:rPr>
        <w:t>(</w:t>
      </w:r>
      <w:r w:rsidRPr="00815823">
        <w:rPr>
          <w:kern w:val="0"/>
          <w14:ligatures w14:val="none"/>
        </w:rPr>
        <w:t>en ligne ou papier</w:t>
      </w:r>
      <w:r w:rsidR="00087652" w:rsidRPr="00815823">
        <w:rPr>
          <w:kern w:val="0"/>
          <w14:ligatures w14:val="none"/>
        </w:rPr>
        <w:t>)</w:t>
      </w:r>
      <w:r w:rsidRPr="00815823">
        <w:rPr>
          <w:kern w:val="0"/>
          <w14:ligatures w14:val="none"/>
        </w:rPr>
        <w:t xml:space="preserve"> sur la collecte du Denier, pour montrer que le don est présent dans les Écritures.</w:t>
      </w:r>
    </w:p>
    <w:p w14:paraId="672D51F8" w14:textId="52670851" w:rsidR="00BE60CF" w:rsidRDefault="00F87C60">
      <w:pPr>
        <w:rPr>
          <w:kern w:val="0"/>
          <w14:ligatures w14:val="none"/>
        </w:rPr>
      </w:pPr>
      <w:r w:rsidRPr="00815823">
        <w:rPr>
          <w:kern w:val="0"/>
          <w14:ligatures w14:val="none"/>
        </w:rPr>
        <w:t xml:space="preserve">Enfin, pour approfondir la réflexion sur le sens spirituel et pastoral du don, nous vous invitons à consulter le Document </w:t>
      </w:r>
      <w:r w:rsidR="004256BC" w:rsidRPr="00815823">
        <w:rPr>
          <w:kern w:val="0"/>
          <w14:ligatures w14:val="none"/>
        </w:rPr>
        <w:t>Épiscopat</w:t>
      </w:r>
      <w:r w:rsidRPr="00815823">
        <w:rPr>
          <w:kern w:val="0"/>
          <w14:ligatures w14:val="none"/>
        </w:rPr>
        <w:t xml:space="preserve"> sur les Ressources de l’Église en vous rapprochant de votre diocèse</w:t>
      </w:r>
      <w:r w:rsidR="00BE60CF">
        <w:rPr>
          <w:kern w:val="0"/>
          <w14:ligatures w14:val="none"/>
        </w:rPr>
        <w:t>, dont voici un extrait :</w:t>
      </w:r>
    </w:p>
    <w:p w14:paraId="52291039" w14:textId="77777777" w:rsidR="00BE60CF" w:rsidRDefault="00BE60CF">
      <w:pPr>
        <w:rPr>
          <w:kern w:val="0"/>
          <w14:ligatures w14:val="none"/>
        </w:rPr>
      </w:pPr>
    </w:p>
    <w:p w14:paraId="0C60488E" w14:textId="77777777" w:rsidR="00BE60CF" w:rsidRPr="00BE60CF" w:rsidRDefault="00BE60CF" w:rsidP="00BE60CF">
      <w:pPr>
        <w:rPr>
          <w:b/>
          <w:bCs/>
          <w:color w:val="4B9A8B"/>
          <w:kern w:val="0"/>
          <w:sz w:val="24"/>
          <w:szCs w:val="24"/>
          <w14:ligatures w14:val="none"/>
        </w:rPr>
      </w:pPr>
      <w:r w:rsidRPr="00BE60CF">
        <w:rPr>
          <w:b/>
          <w:bCs/>
          <w:color w:val="4B9A8B"/>
          <w:kern w:val="0"/>
          <w:sz w:val="24"/>
          <w:szCs w:val="24"/>
          <w14:ligatures w14:val="none"/>
        </w:rPr>
        <w:t xml:space="preserve">« Les ressources de l’Église » - Documents </w:t>
      </w:r>
      <w:r>
        <w:rPr>
          <w:b/>
          <w:bCs/>
          <w:color w:val="4B9A8B"/>
          <w:kern w:val="0"/>
          <w:sz w:val="24"/>
          <w:szCs w:val="24"/>
          <w14:ligatures w14:val="none"/>
        </w:rPr>
        <w:t>É</w:t>
      </w:r>
      <w:r w:rsidRPr="00BE60CF">
        <w:rPr>
          <w:b/>
          <w:bCs/>
          <w:color w:val="4B9A8B"/>
          <w:kern w:val="0"/>
          <w:sz w:val="24"/>
          <w:szCs w:val="24"/>
          <w14:ligatures w14:val="none"/>
        </w:rPr>
        <w:t>piscopat n°</w:t>
      </w:r>
      <w:r>
        <w:rPr>
          <w:b/>
          <w:bCs/>
          <w:color w:val="4B9A8B"/>
          <w:kern w:val="0"/>
          <w:sz w:val="24"/>
          <w:szCs w:val="24"/>
          <w14:ligatures w14:val="none"/>
        </w:rPr>
        <w:t xml:space="preserve"> </w:t>
      </w:r>
      <w:r w:rsidRPr="00BE60CF">
        <w:rPr>
          <w:b/>
          <w:bCs/>
          <w:color w:val="4B9A8B"/>
          <w:kern w:val="0"/>
          <w:sz w:val="24"/>
          <w:szCs w:val="24"/>
          <w14:ligatures w14:val="none"/>
        </w:rPr>
        <w:t>6</w:t>
      </w:r>
    </w:p>
    <w:p w14:paraId="080D9B9B" w14:textId="601E892D" w:rsidR="00BE60CF" w:rsidRPr="00BE60CF" w:rsidRDefault="00BE60CF" w:rsidP="00BE60CF">
      <w:pPr>
        <w:rPr>
          <w:kern w:val="0"/>
          <w14:ligatures w14:val="none"/>
        </w:rPr>
      </w:pPr>
      <w:r w:rsidRPr="00BE60CF">
        <w:rPr>
          <w:kern w:val="0"/>
          <w14:ligatures w14:val="none"/>
        </w:rPr>
        <w:t>Le don d’une partie de ses ressources pour faire vivre sa communauté spirituelle s’inscrit fortement dans la tradition, comme nous le montrent les passages ci-dessous de la Bible. Il s’agit aussi d’une démarche de gratitude. De Dieu, je reçois tout. Comme la « pauvre veuve » qui versait son offrande au temple, je manifeste ma gratitude à Dieu en versant mon offrande à l’Église.</w:t>
      </w:r>
    </w:p>
    <w:p w14:paraId="51442884" w14:textId="0E8161B0" w:rsidR="00BE60CF" w:rsidRPr="00BE60CF" w:rsidRDefault="00BE60CF" w:rsidP="00BE60CF">
      <w:pPr>
        <w:rPr>
          <w:kern w:val="0"/>
          <w14:ligatures w14:val="none"/>
        </w:rPr>
      </w:pPr>
      <w:r w:rsidRPr="00BE60CF">
        <w:rPr>
          <w:kern w:val="0"/>
          <w14:ligatures w14:val="none"/>
        </w:rPr>
        <w:t>Comment se sentir membre d’une communauté spirituelle sans participer à sa vie matérielle ? La vie religieuse n’est pas un service public, et elle ne peut être vécue sans la participation de tous au dynamisme missionnaire. Chaque don, même le plus modeste, manifeste cette démarche qui unit la communauté des croyants.</w:t>
      </w:r>
    </w:p>
    <w:p w14:paraId="3ED332A2" w14:textId="77777777" w:rsidR="00BE60CF" w:rsidRPr="00BE60CF" w:rsidRDefault="00BE60CF" w:rsidP="00BE60CF">
      <w:pPr>
        <w:rPr>
          <w:kern w:val="0"/>
          <w14:ligatures w14:val="none"/>
        </w:rPr>
      </w:pPr>
      <w:r w:rsidRPr="00BE60CF">
        <w:rPr>
          <w:kern w:val="0"/>
          <w14:ligatures w14:val="none"/>
        </w:rPr>
        <w:t>Le Denier n’est pas qu’une participation financière : il exprime d’attachement au Christ et à son Église. C’est un geste de foi, une affirmation d’espérance, un acte d’amour. Donner au Denier permet et manifeste la mission.</w:t>
      </w:r>
    </w:p>
    <w:p w14:paraId="0D094DFF" w14:textId="50AE84CA" w:rsidR="00CB0CAE" w:rsidRPr="00815823" w:rsidRDefault="00CB0CAE">
      <w:pPr>
        <w:rPr>
          <w:b/>
          <w:bCs/>
          <w:kern w:val="0"/>
          <w14:ligatures w14:val="none"/>
        </w:rPr>
      </w:pPr>
      <w:r w:rsidRPr="00815823">
        <w:rPr>
          <w:b/>
          <w:bCs/>
          <w:kern w:val="0"/>
          <w14:ligatures w14:val="none"/>
        </w:rPr>
        <w:br w:type="page"/>
      </w:r>
    </w:p>
    <w:p w14:paraId="73D6515C" w14:textId="66C41FEA" w:rsidR="00CB0CAE" w:rsidRPr="00815823" w:rsidRDefault="00CB0CAE" w:rsidP="00CB0CAE">
      <w:pPr>
        <w:rPr>
          <w:b/>
          <w:bCs/>
          <w:color w:val="4B9A8B"/>
          <w:kern w:val="0"/>
          <w:sz w:val="24"/>
          <w:szCs w:val="24"/>
          <w14:ligatures w14:val="none"/>
        </w:rPr>
      </w:pPr>
      <w:r w:rsidRPr="00815823">
        <w:rPr>
          <w:b/>
          <w:bCs/>
          <w:color w:val="4B9A8B"/>
          <w:kern w:val="0"/>
          <w:sz w:val="24"/>
          <w:szCs w:val="24"/>
          <w14:ligatures w14:val="none"/>
        </w:rPr>
        <w:lastRenderedPageBreak/>
        <w:t>L’obole de la veuve (Marc XII, 41-44)</w:t>
      </w:r>
    </w:p>
    <w:p w14:paraId="2D9F5AF8" w14:textId="445CDCFA" w:rsidR="009F1291" w:rsidRPr="00815823" w:rsidRDefault="00CB0CAE" w:rsidP="00CB0CAE">
      <w:pPr>
        <w:rPr>
          <w:kern w:val="0"/>
          <w14:ligatures w14:val="none"/>
        </w:rPr>
      </w:pPr>
      <w:r w:rsidRPr="00815823">
        <w:rPr>
          <w:kern w:val="0"/>
          <w14:ligatures w14:val="none"/>
        </w:rPr>
        <w:t xml:space="preserve">« </w:t>
      </w:r>
      <w:r w:rsidR="009F1291" w:rsidRPr="00815823">
        <w:rPr>
          <w:kern w:val="0"/>
          <w14:ligatures w14:val="none"/>
        </w:rPr>
        <w:t>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w:t>
      </w:r>
    </w:p>
    <w:p w14:paraId="057E5B47" w14:textId="77777777" w:rsidR="00CB0CAE" w:rsidRPr="00815823" w:rsidRDefault="00CB0CAE" w:rsidP="00CB0CAE">
      <w:pPr>
        <w:rPr>
          <w:kern w:val="0"/>
          <w14:ligatures w14:val="none"/>
        </w:rPr>
      </w:pPr>
    </w:p>
    <w:p w14:paraId="5B806E36" w14:textId="77777777" w:rsidR="00CB0CAE" w:rsidRPr="00815823" w:rsidRDefault="00CB0CAE" w:rsidP="00CB0CAE">
      <w:pPr>
        <w:rPr>
          <w:b/>
          <w:bCs/>
          <w:color w:val="4B9A8B"/>
          <w:kern w:val="0"/>
          <w:sz w:val="24"/>
          <w:szCs w:val="24"/>
          <w14:ligatures w14:val="none"/>
        </w:rPr>
      </w:pPr>
      <w:r w:rsidRPr="00815823">
        <w:rPr>
          <w:b/>
          <w:bCs/>
          <w:color w:val="4B9A8B"/>
          <w:kern w:val="0"/>
          <w:sz w:val="24"/>
          <w:szCs w:val="24"/>
          <w14:ligatures w14:val="none"/>
        </w:rPr>
        <w:t>Deuxième lettre de saint Paul apôtre aux Corinthiens (9,6-11)</w:t>
      </w:r>
    </w:p>
    <w:p w14:paraId="48C8A276" w14:textId="7F43D8CC" w:rsidR="00CB0CAE" w:rsidRPr="00815823" w:rsidRDefault="009F1291" w:rsidP="00CB0CAE">
      <w:pPr>
        <w:rPr>
          <w:kern w:val="0"/>
          <w14:ligatures w14:val="none"/>
        </w:rPr>
      </w:pPr>
      <w:r w:rsidRPr="00815823">
        <w:rPr>
          <w:kern w:val="0"/>
          <w14:ligatures w14:val="none"/>
        </w:rPr>
        <w:t>«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w:t>
      </w:r>
    </w:p>
    <w:p w14:paraId="2846D468" w14:textId="77777777" w:rsidR="006E2B04" w:rsidRDefault="006E2B04" w:rsidP="00CB0CAE">
      <w:pPr>
        <w:rPr>
          <w:b/>
          <w:bCs/>
          <w:color w:val="4B9A8B"/>
          <w:kern w:val="0"/>
          <w:sz w:val="24"/>
          <w:szCs w:val="24"/>
          <w14:ligatures w14:val="none"/>
        </w:rPr>
      </w:pPr>
    </w:p>
    <w:p w14:paraId="592883AD" w14:textId="184BA006" w:rsidR="00CB0CAE" w:rsidRPr="00815823" w:rsidRDefault="00CB0CAE" w:rsidP="00CB0CAE">
      <w:pPr>
        <w:rPr>
          <w:b/>
          <w:bCs/>
          <w:color w:val="4B9A8B"/>
          <w:kern w:val="0"/>
          <w:sz w:val="24"/>
          <w:szCs w:val="24"/>
          <w14:ligatures w14:val="none"/>
        </w:rPr>
      </w:pPr>
      <w:r w:rsidRPr="00815823">
        <w:rPr>
          <w:b/>
          <w:bCs/>
          <w:color w:val="4B9A8B"/>
          <w:kern w:val="0"/>
          <w:sz w:val="24"/>
          <w:szCs w:val="24"/>
          <w14:ligatures w14:val="none"/>
        </w:rPr>
        <w:t>Pour aller plus loin…</w:t>
      </w:r>
    </w:p>
    <w:p w14:paraId="02506FC0" w14:textId="77777777" w:rsidR="00CB0CAE" w:rsidRPr="00815823" w:rsidRDefault="00CB0CAE" w:rsidP="00CB0CAE">
      <w:pPr>
        <w:rPr>
          <w:kern w:val="0"/>
          <w14:ligatures w14:val="none"/>
        </w:rPr>
      </w:pPr>
      <w:r w:rsidRPr="00815823">
        <w:rPr>
          <w:kern w:val="0"/>
          <w14:ligatures w14:val="none"/>
        </w:rPr>
        <w:t>La solidarité, l’argent et son partage sont des thèmes très fréquemment évoqués dans la Bible, dans l’Ancien et le Nouveau Testament. Voici quelques références pour développer ce thème.</w:t>
      </w:r>
    </w:p>
    <w:p w14:paraId="62DBBB71" w14:textId="5C2EE812" w:rsidR="00CB0CAE" w:rsidRPr="00815823" w:rsidRDefault="00CB0CAE" w:rsidP="00FC71FA">
      <w:pPr>
        <w:pStyle w:val="Paragraphedeliste"/>
        <w:numPr>
          <w:ilvl w:val="0"/>
          <w:numId w:val="3"/>
        </w:numPr>
        <w:rPr>
          <w:kern w:val="0"/>
          <w14:ligatures w14:val="none"/>
        </w:rPr>
      </w:pPr>
      <w:r w:rsidRPr="00815823">
        <w:rPr>
          <w:kern w:val="0"/>
          <w14:ligatures w14:val="none"/>
        </w:rPr>
        <w:t>Hébreux 13,16</w:t>
      </w:r>
    </w:p>
    <w:p w14:paraId="22B2BBB7" w14:textId="412D462B" w:rsidR="00CB0CAE" w:rsidRPr="00815823" w:rsidRDefault="00CB0CAE" w:rsidP="00FC71FA">
      <w:pPr>
        <w:pStyle w:val="Paragraphedeliste"/>
        <w:numPr>
          <w:ilvl w:val="0"/>
          <w:numId w:val="3"/>
        </w:numPr>
        <w:rPr>
          <w:kern w:val="0"/>
          <w14:ligatures w14:val="none"/>
        </w:rPr>
      </w:pPr>
      <w:r w:rsidRPr="00815823">
        <w:rPr>
          <w:kern w:val="0"/>
          <w14:ligatures w14:val="none"/>
        </w:rPr>
        <w:t>II Samuel 24,24</w:t>
      </w:r>
    </w:p>
    <w:p w14:paraId="3DD827E8" w14:textId="0FCBCD88" w:rsidR="00CB0CAE" w:rsidRPr="00815823" w:rsidRDefault="00CB0CAE" w:rsidP="00FC71FA">
      <w:pPr>
        <w:pStyle w:val="Paragraphedeliste"/>
        <w:numPr>
          <w:ilvl w:val="0"/>
          <w:numId w:val="3"/>
        </w:numPr>
        <w:rPr>
          <w:kern w:val="0"/>
          <w14:ligatures w14:val="none"/>
        </w:rPr>
      </w:pPr>
      <w:r w:rsidRPr="00815823">
        <w:rPr>
          <w:kern w:val="0"/>
          <w14:ligatures w14:val="none"/>
        </w:rPr>
        <w:t>Corinthiens 8,12</w:t>
      </w:r>
    </w:p>
    <w:p w14:paraId="287FD39D" w14:textId="2D63109A" w:rsidR="00CB0CAE" w:rsidRPr="00815823" w:rsidRDefault="00CB0CAE" w:rsidP="00FC71FA">
      <w:pPr>
        <w:pStyle w:val="Paragraphedeliste"/>
        <w:numPr>
          <w:ilvl w:val="0"/>
          <w:numId w:val="3"/>
        </w:numPr>
        <w:rPr>
          <w:kern w:val="0"/>
          <w14:ligatures w14:val="none"/>
        </w:rPr>
      </w:pPr>
      <w:r w:rsidRPr="00815823">
        <w:rPr>
          <w:kern w:val="0"/>
          <w14:ligatures w14:val="none"/>
        </w:rPr>
        <w:t>II Corinthiens 9,8</w:t>
      </w:r>
    </w:p>
    <w:p w14:paraId="4AE5E9D4" w14:textId="07A6F088" w:rsidR="00CB0CAE" w:rsidRPr="00815823" w:rsidRDefault="00CB0CAE" w:rsidP="00FC71FA">
      <w:pPr>
        <w:pStyle w:val="Paragraphedeliste"/>
        <w:numPr>
          <w:ilvl w:val="0"/>
          <w:numId w:val="3"/>
        </w:numPr>
        <w:rPr>
          <w:kern w:val="0"/>
          <w14:ligatures w14:val="none"/>
        </w:rPr>
      </w:pPr>
      <w:r w:rsidRPr="00815823">
        <w:rPr>
          <w:kern w:val="0"/>
          <w14:ligatures w14:val="none"/>
        </w:rPr>
        <w:t>II Corinthiens 8,5</w:t>
      </w:r>
    </w:p>
    <w:p w14:paraId="714841E7" w14:textId="22EA8BB6" w:rsidR="00CB0CAE" w:rsidRPr="00815823" w:rsidRDefault="00CB0CAE" w:rsidP="00FC71FA">
      <w:pPr>
        <w:pStyle w:val="Paragraphedeliste"/>
        <w:numPr>
          <w:ilvl w:val="0"/>
          <w:numId w:val="3"/>
        </w:numPr>
        <w:rPr>
          <w:kern w:val="0"/>
          <w14:ligatures w14:val="none"/>
        </w:rPr>
      </w:pPr>
      <w:r w:rsidRPr="00815823">
        <w:rPr>
          <w:kern w:val="0"/>
          <w14:ligatures w14:val="none"/>
        </w:rPr>
        <w:t>I Corinthiens 16,1-2</w:t>
      </w:r>
    </w:p>
    <w:p w14:paraId="7C153D97" w14:textId="720C52A9" w:rsidR="00CB0CAE" w:rsidRPr="00815823" w:rsidRDefault="00CB0CAE" w:rsidP="00FC71FA">
      <w:pPr>
        <w:pStyle w:val="Paragraphedeliste"/>
        <w:numPr>
          <w:ilvl w:val="0"/>
          <w:numId w:val="3"/>
        </w:numPr>
        <w:rPr>
          <w:kern w:val="0"/>
          <w14:ligatures w14:val="none"/>
        </w:rPr>
      </w:pPr>
      <w:r w:rsidRPr="00815823">
        <w:rPr>
          <w:kern w:val="0"/>
          <w14:ligatures w14:val="none"/>
        </w:rPr>
        <w:t>Luc 12,48</w:t>
      </w:r>
    </w:p>
    <w:p w14:paraId="55E8C1AA" w14:textId="4F8F783D" w:rsidR="00CB0CAE" w:rsidRPr="00815823" w:rsidRDefault="00CB0CAE" w:rsidP="00FC71FA">
      <w:pPr>
        <w:pStyle w:val="Paragraphedeliste"/>
        <w:numPr>
          <w:ilvl w:val="0"/>
          <w:numId w:val="3"/>
        </w:numPr>
        <w:rPr>
          <w:kern w:val="0"/>
          <w14:ligatures w14:val="none"/>
        </w:rPr>
      </w:pPr>
      <w:r w:rsidRPr="00815823">
        <w:rPr>
          <w:kern w:val="0"/>
          <w14:ligatures w14:val="none"/>
        </w:rPr>
        <w:t>Luc 6,38</w:t>
      </w:r>
    </w:p>
    <w:p w14:paraId="0F74CE32" w14:textId="2D63B493" w:rsidR="00446435" w:rsidRDefault="00CB0CAE" w:rsidP="00FC71FA">
      <w:pPr>
        <w:pStyle w:val="Paragraphedeliste"/>
        <w:numPr>
          <w:ilvl w:val="0"/>
          <w:numId w:val="3"/>
        </w:numPr>
        <w:rPr>
          <w:kern w:val="0"/>
          <w14:ligatures w14:val="none"/>
        </w:rPr>
      </w:pPr>
      <w:r w:rsidRPr="00815823">
        <w:rPr>
          <w:kern w:val="0"/>
          <w14:ligatures w14:val="none"/>
        </w:rPr>
        <w:t>Matthieu 6,1</w:t>
      </w:r>
    </w:p>
    <w:p w14:paraId="54161A4D" w14:textId="77777777" w:rsidR="00BE60CF" w:rsidRDefault="00BE60CF" w:rsidP="00BE60CF">
      <w:pPr>
        <w:rPr>
          <w:kern w:val="0"/>
          <w14:ligatures w14:val="none"/>
        </w:rPr>
      </w:pPr>
    </w:p>
    <w:p w14:paraId="62FA8123" w14:textId="77777777" w:rsidR="00BE60CF" w:rsidRPr="00BE60CF" w:rsidRDefault="00BE60CF" w:rsidP="00BE60CF">
      <w:pPr>
        <w:rPr>
          <w:kern w:val="0"/>
          <w14:ligatures w14:val="none"/>
        </w:rPr>
      </w:pPr>
    </w:p>
    <w:p w14:paraId="35A83EB6" w14:textId="77777777" w:rsidR="00BE60CF" w:rsidRPr="00BE60CF" w:rsidRDefault="00BE60CF" w:rsidP="00BE60CF">
      <w:pPr>
        <w:rPr>
          <w:kern w:val="0"/>
          <w14:ligatures w14:val="none"/>
        </w:rPr>
      </w:pPr>
    </w:p>
    <w:sectPr w:rsidR="00BE60CF" w:rsidRPr="00BE60CF" w:rsidSect="00E2610C">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AB4D2" w14:textId="77777777" w:rsidR="0070130F" w:rsidRDefault="0070130F" w:rsidP="00E2610C">
      <w:pPr>
        <w:spacing w:after="0" w:line="240" w:lineRule="auto"/>
      </w:pPr>
      <w:r>
        <w:separator/>
      </w:r>
    </w:p>
  </w:endnote>
  <w:endnote w:type="continuationSeparator" w:id="0">
    <w:p w14:paraId="0EEE1AAE" w14:textId="77777777" w:rsidR="0070130F" w:rsidRDefault="0070130F" w:rsidP="00E2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B976" w14:textId="41B4A8FD" w:rsidR="00E2610C" w:rsidRPr="00BE60CF" w:rsidRDefault="00BE60CF" w:rsidP="00BE60CF">
    <w:pPr>
      <w:pStyle w:val="Pieddepage"/>
      <w:jc w:val="center"/>
      <w:rPr>
        <w:sz w:val="18"/>
        <w:szCs w:val="18"/>
      </w:rPr>
    </w:pPr>
    <w:r w:rsidRPr="00815823">
      <w:rPr>
        <w:sz w:val="18"/>
        <w:szCs w:val="18"/>
      </w:rPr>
      <w:t>Campagne Denier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83E0" w14:textId="53186A34" w:rsidR="00E2610C" w:rsidRPr="00F87C60" w:rsidRDefault="00F87C60" w:rsidP="00BE60CF">
    <w:pPr>
      <w:pStyle w:val="Pieddepage"/>
      <w:jc w:val="center"/>
      <w:rPr>
        <w:sz w:val="18"/>
        <w:szCs w:val="18"/>
      </w:rPr>
    </w:pPr>
    <w:r w:rsidRPr="00815823">
      <w:rPr>
        <w:sz w:val="18"/>
        <w:szCs w:val="18"/>
      </w:rPr>
      <w:t>Campagne Denier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6755" w14:textId="77777777" w:rsidR="0070130F" w:rsidRDefault="0070130F" w:rsidP="00E2610C">
      <w:pPr>
        <w:spacing w:after="0" w:line="240" w:lineRule="auto"/>
      </w:pPr>
      <w:r>
        <w:separator/>
      </w:r>
    </w:p>
  </w:footnote>
  <w:footnote w:type="continuationSeparator" w:id="0">
    <w:p w14:paraId="4BF676E9" w14:textId="77777777" w:rsidR="0070130F" w:rsidRDefault="0070130F" w:rsidP="00E26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422A"/>
    <w:multiLevelType w:val="hybridMultilevel"/>
    <w:tmpl w:val="110EB800"/>
    <w:lvl w:ilvl="0" w:tplc="FF004A04">
      <w:numFmt w:val="bullet"/>
      <w:lvlText w:val="•"/>
      <w:lvlJc w:val="left"/>
      <w:pPr>
        <w:ind w:left="1070" w:hanging="71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DD04A1"/>
    <w:multiLevelType w:val="hybridMultilevel"/>
    <w:tmpl w:val="65C6F58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A683C98"/>
    <w:multiLevelType w:val="hybridMultilevel"/>
    <w:tmpl w:val="8318D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278610">
    <w:abstractNumId w:val="2"/>
  </w:num>
  <w:num w:numId="2" w16cid:durableId="1579901325">
    <w:abstractNumId w:val="0"/>
  </w:num>
  <w:num w:numId="3" w16cid:durableId="935094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AE"/>
    <w:rsid w:val="000048A3"/>
    <w:rsid w:val="000839EB"/>
    <w:rsid w:val="00087652"/>
    <w:rsid w:val="000F7857"/>
    <w:rsid w:val="00335CEE"/>
    <w:rsid w:val="003A50B2"/>
    <w:rsid w:val="004256BC"/>
    <w:rsid w:val="00430291"/>
    <w:rsid w:val="00446435"/>
    <w:rsid w:val="00480521"/>
    <w:rsid w:val="006E2B04"/>
    <w:rsid w:val="0070130F"/>
    <w:rsid w:val="00776A4B"/>
    <w:rsid w:val="00815823"/>
    <w:rsid w:val="00850CBC"/>
    <w:rsid w:val="008E1A1E"/>
    <w:rsid w:val="009033E6"/>
    <w:rsid w:val="009246AF"/>
    <w:rsid w:val="009C6FE0"/>
    <w:rsid w:val="009E6A22"/>
    <w:rsid w:val="009F1291"/>
    <w:rsid w:val="00A6054D"/>
    <w:rsid w:val="00BA2E9F"/>
    <w:rsid w:val="00BB42FD"/>
    <w:rsid w:val="00BE60CF"/>
    <w:rsid w:val="00CA28CB"/>
    <w:rsid w:val="00CB0CAE"/>
    <w:rsid w:val="00CF3424"/>
    <w:rsid w:val="00CF37B7"/>
    <w:rsid w:val="00D876CE"/>
    <w:rsid w:val="00E2610C"/>
    <w:rsid w:val="00F42A89"/>
    <w:rsid w:val="00F63CA2"/>
    <w:rsid w:val="00F87C60"/>
    <w:rsid w:val="00FC2610"/>
    <w:rsid w:val="00FC71FA"/>
    <w:rsid w:val="00FD00C9"/>
    <w:rsid w:val="00FF2B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DB6FCB"/>
  <w15:chartTrackingRefBased/>
  <w15:docId w15:val="{CB5C8079-40AB-4154-811B-FA0D1F3A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CAE"/>
    <w:rPr>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48A3"/>
    <w:pPr>
      <w:ind w:left="720"/>
      <w:contextualSpacing/>
    </w:pPr>
  </w:style>
  <w:style w:type="paragraph" w:styleId="En-tte">
    <w:name w:val="header"/>
    <w:basedOn w:val="Normal"/>
    <w:link w:val="En-tteCar"/>
    <w:uiPriority w:val="99"/>
    <w:unhideWhenUsed/>
    <w:rsid w:val="00E2610C"/>
    <w:pPr>
      <w:tabs>
        <w:tab w:val="center" w:pos="4536"/>
        <w:tab w:val="right" w:pos="9072"/>
      </w:tabs>
      <w:spacing w:after="0" w:line="240" w:lineRule="auto"/>
    </w:pPr>
  </w:style>
  <w:style w:type="character" w:customStyle="1" w:styleId="En-tteCar">
    <w:name w:val="En-tête Car"/>
    <w:basedOn w:val="Policepardfaut"/>
    <w:link w:val="En-tte"/>
    <w:uiPriority w:val="99"/>
    <w:rsid w:val="00E2610C"/>
    <w:rPr>
      <w:kern w:val="2"/>
      <w14:ligatures w14:val="standardContextual"/>
    </w:rPr>
  </w:style>
  <w:style w:type="paragraph" w:styleId="Pieddepage">
    <w:name w:val="footer"/>
    <w:basedOn w:val="Normal"/>
    <w:link w:val="PieddepageCar"/>
    <w:uiPriority w:val="99"/>
    <w:unhideWhenUsed/>
    <w:rsid w:val="00E261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610C"/>
    <w:rPr>
      <w:kern w:val="2"/>
      <w14:ligatures w14:val="standardContextual"/>
    </w:rPr>
  </w:style>
  <w:style w:type="paragraph" w:styleId="Rvision">
    <w:name w:val="Revision"/>
    <w:hidden/>
    <w:uiPriority w:val="99"/>
    <w:semiHidden/>
    <w:rsid w:val="00815823"/>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25741">
      <w:bodyDiv w:val="1"/>
      <w:marLeft w:val="0"/>
      <w:marRight w:val="0"/>
      <w:marTop w:val="0"/>
      <w:marBottom w:val="0"/>
      <w:divBdr>
        <w:top w:val="none" w:sz="0" w:space="0" w:color="auto"/>
        <w:left w:val="none" w:sz="0" w:space="0" w:color="auto"/>
        <w:bottom w:val="none" w:sz="0" w:space="0" w:color="auto"/>
        <w:right w:val="none" w:sz="0" w:space="0" w:color="auto"/>
      </w:divBdr>
    </w:div>
    <w:div w:id="155152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Auranche TAILLIFET</dc:creator>
  <cp:keywords/>
  <dc:description/>
  <cp:lastModifiedBy>Marie-Charlotte RONOT</cp:lastModifiedBy>
  <cp:revision>8</cp:revision>
  <cp:lastPrinted>2024-10-14T15:25:00Z</cp:lastPrinted>
  <dcterms:created xsi:type="dcterms:W3CDTF">2024-10-09T09:32:00Z</dcterms:created>
  <dcterms:modified xsi:type="dcterms:W3CDTF">2025-04-03T12:35:00Z</dcterms:modified>
</cp:coreProperties>
</file>